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EC" w:rsidRPr="00B250EC" w:rsidRDefault="00B250EC" w:rsidP="00B250EC">
      <w:pPr>
        <w:widowControl w:val="0"/>
        <w:autoSpaceDE w:val="0"/>
        <w:autoSpaceDN w:val="0"/>
        <w:spacing w:after="0" w:line="280" w:lineRule="exact"/>
        <w:ind w:left="10206"/>
        <w:jc w:val="left"/>
        <w:outlineLvl w:val="0"/>
        <w:rPr>
          <w:rFonts w:eastAsia="Times New Roman"/>
          <w:lang w:eastAsia="ru-RU"/>
        </w:rPr>
      </w:pPr>
      <w:r w:rsidRPr="00B250EC">
        <w:rPr>
          <w:rFonts w:eastAsia="Times New Roman"/>
          <w:lang w:eastAsia="ru-RU"/>
        </w:rPr>
        <w:t>Приложение 24</w:t>
      </w:r>
    </w:p>
    <w:p w:rsidR="00B250EC" w:rsidRPr="00B250EC" w:rsidRDefault="00B250EC" w:rsidP="00B250EC">
      <w:pPr>
        <w:widowControl w:val="0"/>
        <w:autoSpaceDE w:val="0"/>
        <w:autoSpaceDN w:val="0"/>
        <w:spacing w:after="0" w:line="280" w:lineRule="exact"/>
        <w:ind w:left="10206"/>
        <w:jc w:val="left"/>
        <w:rPr>
          <w:rFonts w:eastAsia="Times New Roman"/>
          <w:lang w:eastAsia="ru-RU"/>
        </w:rPr>
      </w:pPr>
      <w:r w:rsidRPr="00B250EC">
        <w:rPr>
          <w:rFonts w:eastAsia="Times New Roman"/>
          <w:lang w:eastAsia="ru-RU"/>
        </w:rPr>
        <w:t>к постановлению</w:t>
      </w:r>
    </w:p>
    <w:p w:rsidR="00B250EC" w:rsidRPr="00B250EC" w:rsidRDefault="00B250EC" w:rsidP="00B250EC">
      <w:pPr>
        <w:widowControl w:val="0"/>
        <w:autoSpaceDE w:val="0"/>
        <w:autoSpaceDN w:val="0"/>
        <w:spacing w:after="0" w:line="280" w:lineRule="exact"/>
        <w:ind w:left="10206"/>
        <w:jc w:val="left"/>
        <w:rPr>
          <w:rFonts w:eastAsia="Times New Roman"/>
          <w:lang w:eastAsia="ru-RU"/>
        </w:rPr>
      </w:pPr>
      <w:r w:rsidRPr="00B250EC">
        <w:rPr>
          <w:rFonts w:eastAsia="Times New Roman"/>
          <w:lang w:eastAsia="ru-RU"/>
        </w:rPr>
        <w:t>Министерства антимонопольного</w:t>
      </w:r>
    </w:p>
    <w:p w:rsidR="00B250EC" w:rsidRPr="00B250EC" w:rsidRDefault="00B250EC" w:rsidP="00B250EC">
      <w:pPr>
        <w:widowControl w:val="0"/>
        <w:autoSpaceDE w:val="0"/>
        <w:autoSpaceDN w:val="0"/>
        <w:spacing w:after="0" w:line="280" w:lineRule="exact"/>
        <w:ind w:left="10206"/>
        <w:jc w:val="left"/>
        <w:rPr>
          <w:rFonts w:eastAsia="Times New Roman"/>
          <w:lang w:eastAsia="ru-RU"/>
        </w:rPr>
      </w:pPr>
      <w:r w:rsidRPr="00B250EC">
        <w:rPr>
          <w:rFonts w:eastAsia="Times New Roman"/>
          <w:lang w:eastAsia="ru-RU"/>
        </w:rPr>
        <w:t>регулирования и торговли</w:t>
      </w:r>
    </w:p>
    <w:p w:rsidR="00B250EC" w:rsidRPr="00B250EC" w:rsidRDefault="00B250EC" w:rsidP="00B250EC">
      <w:pPr>
        <w:widowControl w:val="0"/>
        <w:autoSpaceDE w:val="0"/>
        <w:autoSpaceDN w:val="0"/>
        <w:spacing w:after="0" w:line="280" w:lineRule="exact"/>
        <w:ind w:left="10206"/>
        <w:jc w:val="left"/>
        <w:rPr>
          <w:rFonts w:eastAsia="Times New Roman"/>
          <w:lang w:eastAsia="ru-RU"/>
        </w:rPr>
      </w:pPr>
      <w:r w:rsidRPr="00B250EC">
        <w:rPr>
          <w:rFonts w:eastAsia="Times New Roman"/>
          <w:lang w:eastAsia="ru-RU"/>
        </w:rPr>
        <w:t>Республики Беларусь</w:t>
      </w:r>
    </w:p>
    <w:p w:rsidR="00B250EC" w:rsidRPr="00B250EC" w:rsidRDefault="00B250EC" w:rsidP="00B250EC">
      <w:pPr>
        <w:widowControl w:val="0"/>
        <w:autoSpaceDE w:val="0"/>
        <w:autoSpaceDN w:val="0"/>
        <w:spacing w:after="0" w:line="280" w:lineRule="exact"/>
        <w:ind w:left="10206"/>
        <w:jc w:val="left"/>
        <w:rPr>
          <w:rFonts w:eastAsia="Times New Roman"/>
          <w:lang w:eastAsia="ru-RU"/>
        </w:rPr>
      </w:pPr>
      <w:r w:rsidRPr="00B250EC">
        <w:rPr>
          <w:rFonts w:eastAsia="Times New Roman"/>
          <w:lang w:eastAsia="ru-RU"/>
        </w:rPr>
        <w:t xml:space="preserve">30.05.2023 № 37 </w:t>
      </w:r>
    </w:p>
    <w:p w:rsidR="00B250EC" w:rsidRPr="00B250EC" w:rsidRDefault="00B250EC" w:rsidP="00B250EC">
      <w:pPr>
        <w:widowControl w:val="0"/>
        <w:autoSpaceDE w:val="0"/>
        <w:autoSpaceDN w:val="0"/>
        <w:spacing w:after="0" w:line="360" w:lineRule="auto"/>
        <w:rPr>
          <w:rFonts w:eastAsia="Times New Roman"/>
          <w:lang w:eastAsia="ru-RU"/>
        </w:rPr>
      </w:pPr>
    </w:p>
    <w:p w:rsidR="00B250EC" w:rsidRPr="00B250EC" w:rsidRDefault="00B250EC" w:rsidP="00B250EC">
      <w:pPr>
        <w:widowControl w:val="0"/>
        <w:autoSpaceDE w:val="0"/>
        <w:autoSpaceDN w:val="0"/>
        <w:spacing w:after="0" w:line="280" w:lineRule="exact"/>
        <w:ind w:right="4960"/>
        <w:rPr>
          <w:rFonts w:eastAsia="Times New Roman"/>
          <w:lang w:eastAsia="ru-RU"/>
        </w:rPr>
      </w:pPr>
      <w:r w:rsidRPr="00B250EC">
        <w:rPr>
          <w:rFonts w:eastAsia="Times New Roman"/>
          <w:lang w:eastAsia="ru-RU"/>
        </w:rPr>
        <w:t>ТАРИФЫ</w:t>
      </w:r>
    </w:p>
    <w:p w:rsidR="00B250EC" w:rsidRPr="00B250EC" w:rsidRDefault="00B250EC" w:rsidP="00B250EC">
      <w:pPr>
        <w:widowControl w:val="0"/>
        <w:autoSpaceDE w:val="0"/>
        <w:autoSpaceDN w:val="0"/>
        <w:spacing w:after="0" w:line="280" w:lineRule="exact"/>
        <w:ind w:right="7057"/>
        <w:rPr>
          <w:rFonts w:eastAsia="Times New Roman"/>
          <w:lang w:eastAsia="ru-RU"/>
        </w:rPr>
      </w:pPr>
      <w:r w:rsidRPr="00B250EC">
        <w:rPr>
          <w:rFonts w:eastAsia="Times New Roman"/>
          <w:lang w:eastAsia="ru-RU"/>
        </w:rPr>
        <w:t>на работы (услуги), связанные с организацией и осуществлением перевозки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(за пользование железнодорожным путем необщего пользования, принадлежащим организации государственного объединения «Белорусская железная дорога»)</w:t>
      </w:r>
    </w:p>
    <w:p w:rsidR="00B250EC" w:rsidRPr="00B250EC" w:rsidRDefault="00B250EC" w:rsidP="00B250EC">
      <w:pPr>
        <w:widowControl w:val="0"/>
        <w:autoSpaceDE w:val="0"/>
        <w:autoSpaceDN w:val="0"/>
        <w:spacing w:after="0"/>
        <w:ind w:firstLine="709"/>
        <w:jc w:val="right"/>
        <w:rPr>
          <w:rFonts w:eastAsia="Times New Roman"/>
          <w:lang w:eastAsia="ru-RU"/>
        </w:rPr>
      </w:pPr>
      <w:r w:rsidRPr="00B250EC">
        <w:rPr>
          <w:rFonts w:eastAsia="Times New Roman"/>
          <w:lang w:eastAsia="ru-RU"/>
        </w:rPr>
        <w:t xml:space="preserve"> (белорусских рублей за сутки)</w:t>
      </w: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058"/>
        <w:gridCol w:w="1134"/>
        <w:gridCol w:w="1276"/>
        <w:gridCol w:w="1134"/>
        <w:gridCol w:w="1134"/>
        <w:gridCol w:w="1134"/>
        <w:gridCol w:w="1134"/>
        <w:gridCol w:w="1134"/>
        <w:gridCol w:w="1134"/>
        <w:gridCol w:w="992"/>
        <w:gridCol w:w="1134"/>
        <w:gridCol w:w="1099"/>
      </w:tblGrid>
      <w:tr w:rsidR="00B250EC" w:rsidRPr="00B250EC" w:rsidTr="00FC5E34">
        <w:tc>
          <w:tcPr>
            <w:tcW w:w="1414" w:type="dxa"/>
            <w:vMerge w:val="restart"/>
            <w:vAlign w:val="center"/>
          </w:tcPr>
          <w:p w:rsidR="00B250EC" w:rsidRPr="00B250EC" w:rsidRDefault="00B250EC" w:rsidP="00B250EC">
            <w:pPr>
              <w:widowControl w:val="0"/>
              <w:autoSpaceDE w:val="0"/>
              <w:autoSpaceDN w:val="0"/>
              <w:spacing w:after="0"/>
              <w:jc w:val="center"/>
              <w:rPr>
                <w:rFonts w:eastAsia="Times New Roman"/>
                <w:strike/>
                <w:sz w:val="24"/>
                <w:szCs w:val="24"/>
                <w:lang w:eastAsia="ru-RU"/>
              </w:rPr>
            </w:pPr>
            <w:r w:rsidRPr="00B250EC">
              <w:rPr>
                <w:rFonts w:eastAsia="Times New Roman"/>
                <w:sz w:val="24"/>
                <w:szCs w:val="24"/>
                <w:lang w:eastAsia="ru-RU"/>
              </w:rPr>
              <w:t xml:space="preserve">Тарифы за пользование </w:t>
            </w:r>
          </w:p>
          <w:p w:rsidR="00B250EC" w:rsidRPr="00B250EC" w:rsidRDefault="00B250EC" w:rsidP="00B250EC">
            <w:pPr>
              <w:widowControl w:val="0"/>
              <w:autoSpaceDE w:val="0"/>
              <w:autoSpaceDN w:val="0"/>
              <w:spacing w:after="0"/>
              <w:jc w:val="center"/>
              <w:rPr>
                <w:rFonts w:eastAsia="Times New Roman"/>
                <w:sz w:val="24"/>
                <w:szCs w:val="24"/>
                <w:lang w:eastAsia="ru-RU"/>
              </w:rPr>
            </w:pPr>
            <w:proofErr w:type="gramStart"/>
            <w:r w:rsidRPr="00B250EC">
              <w:rPr>
                <w:rFonts w:eastAsia="Times New Roman"/>
                <w:sz w:val="24"/>
                <w:szCs w:val="24"/>
                <w:lang w:eastAsia="ru-RU"/>
              </w:rPr>
              <w:t>железно-дорожным</w:t>
            </w:r>
            <w:proofErr w:type="gramEnd"/>
            <w:r w:rsidRPr="00B250EC">
              <w:rPr>
                <w:rFonts w:eastAsia="Times New Roman"/>
                <w:sz w:val="24"/>
                <w:szCs w:val="24"/>
                <w:lang w:eastAsia="ru-RU"/>
              </w:rPr>
              <w:t xml:space="preserve"> путем необщего пользования</w:t>
            </w:r>
          </w:p>
        </w:tc>
        <w:tc>
          <w:tcPr>
            <w:tcW w:w="13497" w:type="dxa"/>
            <w:gridSpan w:val="12"/>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Развернутая длина железнодорожного пути необщего пользования, </w:t>
            </w:r>
            <w:proofErr w:type="gramStart"/>
            <w:r w:rsidRPr="00B250EC">
              <w:rPr>
                <w:rFonts w:eastAsia="Times New Roman"/>
                <w:sz w:val="24"/>
                <w:szCs w:val="24"/>
                <w:lang w:eastAsia="ru-RU"/>
              </w:rPr>
              <w:t>км</w:t>
            </w:r>
            <w:proofErr w:type="gramEnd"/>
          </w:p>
        </w:tc>
      </w:tr>
      <w:tr w:rsidR="00B250EC" w:rsidRPr="00B250EC" w:rsidTr="00FC5E34">
        <w:tc>
          <w:tcPr>
            <w:tcW w:w="1414" w:type="dxa"/>
            <w:vMerge/>
          </w:tcPr>
          <w:p w:rsidR="00B250EC" w:rsidRPr="00B250EC" w:rsidRDefault="00B250EC" w:rsidP="00B250EC">
            <w:pPr>
              <w:spacing w:after="0"/>
              <w:jc w:val="left"/>
              <w:rPr>
                <w:rFonts w:eastAsia="Times New Roman"/>
                <w:sz w:val="24"/>
                <w:szCs w:val="24"/>
                <w:lang w:eastAsia="ru-RU"/>
              </w:rPr>
            </w:pPr>
          </w:p>
        </w:tc>
        <w:tc>
          <w:tcPr>
            <w:tcW w:w="1058"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до 0,5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0,5 до 1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276"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1 до 2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2 до 3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3 до 4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4 до 5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5 до 6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6 до 7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7 до 8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992"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8 до 9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134"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r w:rsidRPr="00B250EC">
              <w:rPr>
                <w:rFonts w:eastAsia="Times New Roman"/>
                <w:sz w:val="24"/>
                <w:szCs w:val="24"/>
                <w:lang w:eastAsia="ru-RU"/>
              </w:rPr>
              <w:t xml:space="preserve">свыше 9 до 10 </w:t>
            </w:r>
            <w:proofErr w:type="gramStart"/>
            <w:r w:rsidRPr="00B250EC">
              <w:rPr>
                <w:rFonts w:eastAsia="Times New Roman"/>
                <w:sz w:val="24"/>
                <w:szCs w:val="24"/>
                <w:lang w:eastAsia="ru-RU"/>
              </w:rPr>
              <w:t>включи-</w:t>
            </w:r>
            <w:proofErr w:type="spellStart"/>
            <w:r w:rsidRPr="00B250EC">
              <w:rPr>
                <w:rFonts w:eastAsia="Times New Roman"/>
                <w:sz w:val="24"/>
                <w:szCs w:val="24"/>
                <w:lang w:eastAsia="ru-RU"/>
              </w:rPr>
              <w:t>тельно</w:t>
            </w:r>
            <w:proofErr w:type="spellEnd"/>
            <w:proofErr w:type="gramEnd"/>
          </w:p>
        </w:tc>
        <w:tc>
          <w:tcPr>
            <w:tcW w:w="1099" w:type="dxa"/>
            <w:vAlign w:val="center"/>
          </w:tcPr>
          <w:p w:rsidR="00B250EC" w:rsidRPr="00B250EC" w:rsidRDefault="00B250EC" w:rsidP="00B250EC">
            <w:pPr>
              <w:widowControl w:val="0"/>
              <w:autoSpaceDE w:val="0"/>
              <w:autoSpaceDN w:val="0"/>
              <w:spacing w:after="0"/>
              <w:jc w:val="center"/>
              <w:rPr>
                <w:rFonts w:eastAsia="Times New Roman"/>
                <w:sz w:val="24"/>
                <w:szCs w:val="24"/>
                <w:lang w:eastAsia="ru-RU"/>
              </w:rPr>
            </w:pPr>
            <w:bookmarkStart w:id="0" w:name="P19854"/>
            <w:bookmarkEnd w:id="0"/>
            <w:r w:rsidRPr="00B250EC">
              <w:rPr>
                <w:rFonts w:eastAsia="Times New Roman"/>
                <w:sz w:val="24"/>
                <w:szCs w:val="24"/>
                <w:lang w:eastAsia="ru-RU"/>
              </w:rPr>
              <w:t>за 1 км свыше 10</w:t>
            </w:r>
          </w:p>
        </w:tc>
      </w:tr>
      <w:tr w:rsidR="00B250EC" w:rsidRPr="00B250EC" w:rsidTr="00FC5E34">
        <w:tc>
          <w:tcPr>
            <w:tcW w:w="1414" w:type="dxa"/>
            <w:vMerge/>
          </w:tcPr>
          <w:p w:rsidR="00B250EC" w:rsidRPr="00B250EC" w:rsidRDefault="00B250EC" w:rsidP="00B250EC">
            <w:pPr>
              <w:spacing w:after="0"/>
              <w:jc w:val="left"/>
              <w:rPr>
                <w:rFonts w:eastAsia="Times New Roman"/>
                <w:sz w:val="24"/>
                <w:szCs w:val="24"/>
                <w:lang w:eastAsia="ru-RU"/>
              </w:rPr>
            </w:pPr>
          </w:p>
        </w:tc>
        <w:tc>
          <w:tcPr>
            <w:tcW w:w="1058"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4,93</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14,80</w:t>
            </w:r>
          </w:p>
        </w:tc>
        <w:tc>
          <w:tcPr>
            <w:tcW w:w="1276"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29,59</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49,30</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69,03</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88,76</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108,47</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128,19</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147,92</w:t>
            </w:r>
          </w:p>
        </w:tc>
        <w:tc>
          <w:tcPr>
            <w:tcW w:w="992"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167,64</w:t>
            </w:r>
          </w:p>
        </w:tc>
        <w:tc>
          <w:tcPr>
            <w:tcW w:w="1134"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187,36</w:t>
            </w:r>
          </w:p>
        </w:tc>
        <w:tc>
          <w:tcPr>
            <w:tcW w:w="1099" w:type="dxa"/>
          </w:tcPr>
          <w:p w:rsidR="00B250EC" w:rsidRPr="00B250EC" w:rsidRDefault="00B250EC" w:rsidP="00B250EC">
            <w:pPr>
              <w:spacing w:after="0"/>
              <w:jc w:val="center"/>
              <w:rPr>
                <w:rFonts w:eastAsia="Times New Roman"/>
                <w:sz w:val="28"/>
                <w:szCs w:val="28"/>
                <w:lang w:eastAsia="ru-RU"/>
              </w:rPr>
            </w:pPr>
            <w:r w:rsidRPr="00B250EC">
              <w:rPr>
                <w:rFonts w:eastAsia="Times New Roman"/>
                <w:sz w:val="28"/>
                <w:szCs w:val="28"/>
                <w:lang w:eastAsia="ru-RU"/>
              </w:rPr>
              <w:t>19,73</w:t>
            </w:r>
          </w:p>
        </w:tc>
      </w:tr>
    </w:tbl>
    <w:p w:rsidR="007C4C49" w:rsidRDefault="007C4C49"/>
    <w:p w:rsidR="00FC5E34" w:rsidRDefault="00FC5E34"/>
    <w:p w:rsidR="00FC5E34" w:rsidRDefault="00FC5E34"/>
    <w:p w:rsidR="00FC5E34" w:rsidRDefault="00FC5E34" w:rsidP="00FC5E34">
      <w:pPr>
        <w:widowControl w:val="0"/>
        <w:autoSpaceDE w:val="0"/>
        <w:autoSpaceDN w:val="0"/>
        <w:spacing w:after="0"/>
        <w:ind w:firstLine="709"/>
        <w:rPr>
          <w:rFonts w:eastAsia="Times New Roman"/>
          <w:lang w:eastAsia="ru-RU"/>
        </w:rPr>
        <w:sectPr w:rsidR="00FC5E34" w:rsidSect="00B250EC">
          <w:pgSz w:w="16838" w:h="11906" w:orient="landscape"/>
          <w:pgMar w:top="567" w:right="1134" w:bottom="1701" w:left="1134" w:header="709" w:footer="709" w:gutter="0"/>
          <w:cols w:space="708"/>
          <w:docGrid w:linePitch="360"/>
        </w:sectPr>
      </w:pPr>
    </w:p>
    <w:p w:rsidR="00FC5E34" w:rsidRPr="00FC5E34" w:rsidRDefault="00FC5E34" w:rsidP="00FC5E34">
      <w:pPr>
        <w:widowControl w:val="0"/>
        <w:autoSpaceDE w:val="0"/>
        <w:autoSpaceDN w:val="0"/>
        <w:spacing w:after="0"/>
        <w:jc w:val="center"/>
        <w:outlineLvl w:val="2"/>
        <w:rPr>
          <w:rFonts w:eastAsia="Times New Roman"/>
          <w:lang w:eastAsia="ru-RU"/>
        </w:rPr>
      </w:pPr>
      <w:r w:rsidRPr="00FC5E34">
        <w:rPr>
          <w:rFonts w:eastAsia="Times New Roman"/>
          <w:lang w:eastAsia="ru-RU"/>
        </w:rPr>
        <w:lastRenderedPageBreak/>
        <w:t>ГЛАВА 21</w:t>
      </w:r>
    </w:p>
    <w:p w:rsidR="00FC5E34" w:rsidRPr="00FC5E34" w:rsidRDefault="00FC5E34" w:rsidP="00FC5E34">
      <w:pPr>
        <w:widowControl w:val="0"/>
        <w:autoSpaceDE w:val="0"/>
        <w:autoSpaceDN w:val="0"/>
        <w:spacing w:after="0"/>
        <w:jc w:val="center"/>
        <w:rPr>
          <w:rFonts w:eastAsia="Times New Roman"/>
          <w:lang w:eastAsia="ru-RU"/>
        </w:rPr>
      </w:pPr>
      <w:r w:rsidRPr="00FC5E34">
        <w:rPr>
          <w:rFonts w:eastAsia="Times New Roman"/>
          <w:lang w:eastAsia="ru-RU"/>
        </w:rPr>
        <w:t>ИНЫЕ РАБОТЫ (УСЛУГИ)</w:t>
      </w:r>
    </w:p>
    <w:p w:rsidR="00FC5E34" w:rsidRDefault="00FC5E34" w:rsidP="00983ED0">
      <w:pPr>
        <w:widowControl w:val="0"/>
        <w:autoSpaceDE w:val="0"/>
        <w:autoSpaceDN w:val="0"/>
        <w:spacing w:after="0"/>
        <w:outlineLvl w:val="2"/>
        <w:rPr>
          <w:rFonts w:eastAsia="Times New Roman"/>
          <w:lang w:eastAsia="ru-RU"/>
        </w:rPr>
      </w:pPr>
      <w:bookmarkStart w:id="1" w:name="_GoBack"/>
      <w:r w:rsidRPr="00741673">
        <w:rPr>
          <w:rFonts w:eastAsia="Times New Roman"/>
          <w:sz w:val="26"/>
          <w:szCs w:val="26"/>
          <w:lang w:eastAsia="ru-RU"/>
        </w:rPr>
        <w:t>Инструкции о порядке установления и применения тарифов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на работы (услуги), связанные с организацией и осуществлением этой перевозки</w:t>
      </w:r>
      <w:r>
        <w:rPr>
          <w:rFonts w:eastAsia="Times New Roman"/>
          <w:sz w:val="26"/>
          <w:szCs w:val="26"/>
          <w:lang w:eastAsia="ru-RU"/>
        </w:rPr>
        <w:t>, утвержденной Постановлением МАРТ от 30.05.2023 № 37</w:t>
      </w:r>
    </w:p>
    <w:bookmarkEnd w:id="1"/>
    <w:p w:rsidR="00FC5E34" w:rsidRDefault="00FC5E34" w:rsidP="00FC5E34">
      <w:pPr>
        <w:widowControl w:val="0"/>
        <w:autoSpaceDE w:val="0"/>
        <w:autoSpaceDN w:val="0"/>
        <w:spacing w:after="0"/>
        <w:ind w:firstLine="709"/>
        <w:rPr>
          <w:rFonts w:eastAsia="Times New Roman"/>
          <w:lang w:eastAsia="ru-RU"/>
        </w:rPr>
      </w:pP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 xml:space="preserve">158. Плата за пользование железнодорожным путем необщего пользования, принадлежащим организации Белорусской железной дороги, его частью, начисляется по тарифам, установленным в </w:t>
      </w:r>
      <w:r w:rsidRPr="00FC5E34">
        <w:rPr>
          <w:rFonts w:eastAsia="Times New Roman"/>
          <w:lang w:eastAsia="ru-RU"/>
        </w:rPr>
        <w:br/>
        <w:t>приложении 24 к постановлению, утвердившему настоящую Инструкцию, в зависимости от его развернутой длины. Плата начисляется каждой организации (пользователю), с которой заключен договор на подачу и уборку вагонов, договор на эксплуатацию железнодорожного пути необщего пользования, ежесуточно независимо от осуществления подачи или уборки вагонов.</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В случае закрытия для движения железнодорожного пути необщего пользования, принадлежащего организации Белорусской железной дороги, или его части по причинам, зависящим от Белорусской железной дороги, ее организаций, плата за пользование железнодорожным путем необщего пользования, его частью за время закрытия железнодорожного пути необщего пользования, его части не начисляется.</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 xml:space="preserve">Если развернутая длина железнодорожного пути необщего пользования составляет более 10 км, к плате за 10 км прибавляется плата, рассчитанная на основании тарифа, установленного в графе «за 1 км свыше 10» приложения 24 к постановлению, утвердившему настоящую Инструкцию, умноженного на количество километров свыше 10, считая неполный 1 км </w:t>
      </w:r>
      <w:proofErr w:type="gramStart"/>
      <w:r w:rsidRPr="00FC5E34">
        <w:rPr>
          <w:rFonts w:eastAsia="Times New Roman"/>
          <w:lang w:eastAsia="ru-RU"/>
        </w:rPr>
        <w:t>за</w:t>
      </w:r>
      <w:proofErr w:type="gramEnd"/>
      <w:r w:rsidRPr="00FC5E34">
        <w:rPr>
          <w:rFonts w:eastAsia="Times New Roman"/>
          <w:lang w:eastAsia="ru-RU"/>
        </w:rPr>
        <w:t xml:space="preserve"> полный.</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В случае</w:t>
      </w:r>
      <w:proofErr w:type="gramStart"/>
      <w:r w:rsidRPr="00FC5E34">
        <w:rPr>
          <w:rFonts w:eastAsia="Times New Roman"/>
          <w:lang w:eastAsia="ru-RU"/>
        </w:rPr>
        <w:t>,</w:t>
      </w:r>
      <w:proofErr w:type="gramEnd"/>
      <w:r w:rsidRPr="00FC5E34">
        <w:rPr>
          <w:rFonts w:eastAsia="Times New Roman"/>
          <w:lang w:eastAsia="ru-RU"/>
        </w:rPr>
        <w:t xml:space="preserve"> если часть железнодорожного пути необщего пользования принадлежит организации Белорусской железной дороги, а часть принадлежит организации (пользователю), плата за пользование железнодорожным путем необщего пользования взимается за часть железнодорожного пути необщего пользования, принадлежащую организации Белорусской железной дороги.</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Если железнодорожный путь необщего пользования, принадлежащий организации Белорусской железной дороги, или его часть используется для перевозок при обслуживании нескольких организаций (пользователей), с которыми заключен договор на подачу и уборку вагонов, то плата за пользование этим железнодорожным путем необщего пользования или его частью определяется в следующем порядке:</w:t>
      </w:r>
    </w:p>
    <w:p w:rsidR="00FC5E34" w:rsidRPr="00FC5E34" w:rsidRDefault="00FC5E34" w:rsidP="00FC5E34">
      <w:pPr>
        <w:widowControl w:val="0"/>
        <w:autoSpaceDE w:val="0"/>
        <w:autoSpaceDN w:val="0"/>
        <w:spacing w:after="0"/>
        <w:ind w:firstLine="709"/>
        <w:rPr>
          <w:rFonts w:eastAsia="Times New Roman"/>
          <w:lang w:eastAsia="ru-RU"/>
        </w:rPr>
      </w:pPr>
      <w:proofErr w:type="gramStart"/>
      <w:r w:rsidRPr="00FC5E34">
        <w:rPr>
          <w:rFonts w:eastAsia="Times New Roman"/>
          <w:lang w:eastAsia="ru-RU"/>
        </w:rPr>
        <w:t xml:space="preserve">определяется плата за пользование 1 км железнодорожного пути </w:t>
      </w:r>
      <w:r w:rsidRPr="00FC5E34">
        <w:rPr>
          <w:rFonts w:eastAsia="Times New Roman"/>
          <w:lang w:eastAsia="ru-RU"/>
        </w:rPr>
        <w:lastRenderedPageBreak/>
        <w:t>необщего пользования, принадлежащего организации Белорусской железной дороги, путем деления платы за пользование, начисленной за развернутую длину железнодорожного пути необщего пользования, принадлежащего организации Белорусской железной дороги, на развернутую длину данного железнодорожного пути необщего пользования, установленную станцией на основании договоров на подачу и уборку вагонов;</w:t>
      </w:r>
      <w:proofErr w:type="gramEnd"/>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 xml:space="preserve">путем умножения платы за пользование 1 км железнодорожного пути необщего пользования на длину совместно используемого железнодорожного пути необщего пользования, принадлежащего организации Белорусской железной дороги, или его части, округленную </w:t>
      </w:r>
      <w:r w:rsidRPr="00FC5E34">
        <w:rPr>
          <w:rFonts w:eastAsia="Times New Roman"/>
          <w:lang w:eastAsia="ru-RU"/>
        </w:rPr>
        <w:br/>
        <w:t>до 0,01 км, определяется плата за пользование железнодорожным путем необщего пользования или его частью;</w:t>
      </w:r>
    </w:p>
    <w:p w:rsidR="00FC5E34" w:rsidRPr="00FC5E34" w:rsidRDefault="00FC5E34" w:rsidP="00FC5E34">
      <w:pPr>
        <w:widowControl w:val="0"/>
        <w:autoSpaceDE w:val="0"/>
        <w:autoSpaceDN w:val="0"/>
        <w:spacing w:after="0"/>
        <w:ind w:firstLine="709"/>
        <w:rPr>
          <w:rFonts w:eastAsia="Times New Roman"/>
          <w:lang w:eastAsia="ru-RU"/>
        </w:rPr>
      </w:pPr>
      <w:proofErr w:type="gramStart"/>
      <w:r w:rsidRPr="00FC5E34">
        <w:rPr>
          <w:rFonts w:eastAsia="Times New Roman"/>
          <w:lang w:eastAsia="ru-RU"/>
        </w:rPr>
        <w:t>полученная плата за пользование железнодорожным путем необщего пользования, принадлежащим организации Белорусской железной дороги, или его частью делится поровну между организациями (пользователями), включая организации Белорусской железной дороги в случае использования ими данного железнодорожного пути необщего пользования или его части, и взимается с каждой организации (пользователя), с которой заключен договор на подачу и уборку вагонов, договор на эксплуатацию железнодорожного пути необщего пользования</w:t>
      </w:r>
      <w:proofErr w:type="gramEnd"/>
      <w:r w:rsidRPr="00FC5E34">
        <w:rPr>
          <w:rFonts w:eastAsia="Times New Roman"/>
          <w:lang w:eastAsia="ru-RU"/>
        </w:rPr>
        <w:t>, наряду с платой за части железнодорожного пути необщего пользования, используемые организацией (пользователем) самостоятельно.</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Плата за пользование железнодорожным путем необщего пользования, принадлежащим организации Белорусской железной дороги, или его частью, используемым для перевозок при обслуживании нескольких организаций (пользователей), может взиматься только с организации, являющейся основным пользователем, при наличии ее согласия на основании данных, указанных в договоре на подачу и уборку вагонов. Распределение платы между организацией, являющейся основным пользователем, и другими организациями (пользователями) осуществляется на основании соглашения, заключенного между ними.</w:t>
      </w:r>
    </w:p>
    <w:p w:rsidR="00FC5E34" w:rsidRPr="00FC5E34" w:rsidRDefault="00FC5E34" w:rsidP="00FC5E34">
      <w:pPr>
        <w:widowControl w:val="0"/>
        <w:autoSpaceDE w:val="0"/>
        <w:autoSpaceDN w:val="0"/>
        <w:spacing w:after="0"/>
        <w:ind w:firstLine="709"/>
        <w:rPr>
          <w:rFonts w:eastAsia="Times New Roman"/>
          <w:lang w:eastAsia="ru-RU"/>
        </w:rPr>
      </w:pPr>
      <w:r w:rsidRPr="00FC5E34">
        <w:rPr>
          <w:rFonts w:eastAsia="Times New Roman"/>
          <w:lang w:eastAsia="ru-RU"/>
        </w:rPr>
        <w:t>Расчеты между грузоотправителями, грузополучателями за пользование железнодорожным путем необщего пользования, принадлежащим организации Белорусской железной дороги, по тарифам, установленным в приложении 24 к постановлению, утвердившему настоящую Инструкцию, могут производиться за сутки, 5 дней, декаду или месяц.</w:t>
      </w:r>
    </w:p>
    <w:p w:rsidR="00FC5E34" w:rsidRDefault="00FC5E34"/>
    <w:sectPr w:rsidR="00FC5E34" w:rsidSect="00FC5E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5"/>
    <w:rsid w:val="007C4C49"/>
    <w:rsid w:val="00903565"/>
    <w:rsid w:val="00983ED0"/>
    <w:rsid w:val="00B250EC"/>
    <w:rsid w:val="00FC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NOD4</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Продухо Елена Ивановна</dc:creator>
  <cp:keywords/>
  <dc:description/>
  <cp:lastModifiedBy>Продухо Елена Ивановна</cp:lastModifiedBy>
  <cp:revision>3</cp:revision>
  <dcterms:created xsi:type="dcterms:W3CDTF">2023-07-10T10:58:00Z</dcterms:created>
  <dcterms:modified xsi:type="dcterms:W3CDTF">2023-07-10T11:33:00Z</dcterms:modified>
</cp:coreProperties>
</file>